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30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500"/>
        <w:gridCol w:w="2130"/>
        <w:gridCol w:w="2025"/>
        <w:gridCol w:w="186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考生健康状况统计表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（面试前5天）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发烧（体温超过37.3度）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咳嗽、腹泻、咽痛、呕吐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4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说明：考生应如实填表。请在对应栏填写“无”或“有”，填“有”的，请在备注栏内简要注明相关情况。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4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签    名：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          提交日期：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F27B7"/>
    <w:rsid w:val="253F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5">
    <w:name w:val="font61"/>
    <w:basedOn w:val="3"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2021-08-01T02:54:00Z</dcterms:created>
  <dc:creator>1832</dc:creator>
  <cp:lastModifiedBy>1832</cp:lastModifiedBy>
  <dcterms:modified xsi:type="dcterms:W3CDTF">2021-08-01T02:55:33Z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91AA0FFF9A6648CF8CAEE4DA82FFF58D</vt:lpwstr>
  </property>
</Properties>
</file>