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  <w:bookmarkStart w:id="0" w:name="_Toc3655"/>
      <w:bookmarkStart w:id="1" w:name="_Toc7413"/>
      <w:bookmarkStart w:id="2" w:name="_Toc2874"/>
      <w:bookmarkStart w:id="3" w:name="_Toc2135"/>
      <w:bookmarkStart w:id="4" w:name="_Toc24402"/>
      <w:bookmarkStart w:id="5" w:name="_Toc29625"/>
      <w:bookmarkStart w:id="6" w:name="_Toc12264"/>
      <w:bookmarkStart w:id="7" w:name="_Toc2817"/>
      <w:bookmarkStart w:id="8" w:name="_Toc14301"/>
      <w:bookmarkStart w:id="9" w:name="_Toc16529"/>
      <w:bookmarkStart w:id="10" w:name="_Toc31830"/>
      <w:bookmarkStart w:id="11" w:name="_Toc14216"/>
      <w:bookmarkStart w:id="12" w:name="_Toc4980"/>
      <w:bookmarkStart w:id="13" w:name="_Toc22768"/>
      <w:bookmarkStart w:id="14" w:name="_Toc28350"/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6</w:t>
      </w:r>
    </w:p>
    <w:p>
      <w:pPr>
        <w:outlineLvl w:val="0"/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</w:pP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</w:rPr>
        <w:t>第五届“豫创天下”创业创新大赛</w:t>
      </w: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商丘分区赛暨</w:t>
      </w:r>
    </w:p>
    <w:p>
      <w:pPr>
        <w:spacing w:line="560" w:lineRule="exact"/>
        <w:jc w:val="center"/>
        <w:rPr>
          <w:rFonts w:hint="default" w:ascii="Times New Roman" w:hAnsi="Times New Roman" w:eastAsia="文星标宋" w:cs="Times New Roman"/>
          <w:sz w:val="40"/>
          <w:szCs w:val="40"/>
        </w:rPr>
      </w:pPr>
      <w:r>
        <w:rPr>
          <w:rFonts w:hint="default" w:ascii="Times New Roman" w:hAnsi="Times New Roman" w:eastAsia="文星标宋" w:cs="Times New Roman"/>
          <w:color w:val="000000"/>
          <w:kern w:val="0"/>
          <w:sz w:val="40"/>
          <w:szCs w:val="40"/>
          <w:lang w:val="en-US" w:eastAsia="zh-CN"/>
        </w:rPr>
        <w:t>大众创业优秀项目选拔赛</w:t>
      </w:r>
      <w:r>
        <w:rPr>
          <w:rFonts w:hint="default" w:ascii="Times New Roman" w:hAnsi="Times New Roman" w:eastAsia="文星标宋" w:cs="Times New Roman"/>
          <w:sz w:val="40"/>
          <w:szCs w:val="40"/>
        </w:rPr>
        <w:t>评审标准</w:t>
      </w:r>
    </w:p>
    <w:p>
      <w:pPr>
        <w:spacing w:line="500" w:lineRule="exact"/>
        <w:jc w:val="center"/>
        <w:rPr>
          <w:rFonts w:hint="default" w:ascii="Times New Roman" w:hAnsi="Times New Roman" w:eastAsia="楷体_GB2312" w:cs="Times New Roman"/>
          <w:sz w:val="30"/>
          <w:szCs w:val="30"/>
        </w:rPr>
      </w:pPr>
      <w:r>
        <w:rPr>
          <w:rFonts w:hint="default" w:ascii="Times New Roman" w:hAnsi="Times New Roman" w:eastAsia="楷体_GB2312" w:cs="Times New Roman"/>
          <w:sz w:val="30"/>
          <w:szCs w:val="30"/>
        </w:rPr>
        <w:t>（创新组）</w:t>
      </w:r>
    </w:p>
    <w:p>
      <w:pPr>
        <w:spacing w:line="400" w:lineRule="exact"/>
        <w:jc w:val="center"/>
        <w:rPr>
          <w:rFonts w:hint="default" w:ascii="Times New Roman" w:hAnsi="Times New Roman" w:eastAsia="仿宋_GB2312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一、创新性、示范性、引领性（30分）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1．技术和产品具有原创性、创新性（10分）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2．技术和产品具有行业领先性或取得了专利等知识产权成果，能填补国内外空白，项目在某个行业或领域具有示范性和引领性（10分）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3．项目商业模式具有可行性、创新性，项目管理和服务方式具有创新性（10分）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二、社会价值（25分）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1．项目直接带动就业数量，间接带动就业数量，预计未来3年将创造就业岗位的数量规模（10分）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2．项目的社会贡献（当前或预期），带动当地产业发展、资源利用、民族文化传承，带动特殊群体或困难群体就业创业，促进建档立卡困难家庭和群众增收等（10分）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3．促进节能减排、环境保护、推动绿色发展等（5分）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三、项目团队（20分）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1．项目第一创始人的素质、能力、背景和经历（10分）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2．团队其他成员配备的科学性、完整性和互补性（5分）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3．团队的整体运营能力和执行力（5分）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四、发展现状和前景（25分）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1．项目具有广阔的市场前景，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具备大范围推广的可行性和条件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2．项目具有可持续发展的能力及良好的经济价值（10分）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00" w:lineRule="exact"/>
        <w:ind w:firstLine="627" w:firstLineChars="196"/>
        <w:textAlignment w:val="auto"/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项目运营现状和财务状况，取得的进展和成绩（5分）</w:t>
      </w:r>
      <w:bookmarkStart w:id="15" w:name="_GoBack"/>
      <w:bookmarkEnd w:id="1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82798"/>
    <w:rsid w:val="3E18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2021-06-08T09:57:00Z</dcterms:created>
  <dc:creator>Administrator</dc:creator>
  <cp:lastModifiedBy>Administrator</cp:lastModifiedBy>
  <dcterms:modified xsi:type="dcterms:W3CDTF">2021-06-08T09:58:30Z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3A5AFFDD82B94BCBB5B10E310DA83855</vt:lpwstr>
  </property>
</Properties>
</file>