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2023年商丘市直属企事业工会委员会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招聘高层次人才面试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资格确认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人员名单</w:t>
      </w:r>
    </w:p>
    <w:tbl>
      <w:tblPr>
        <w:tblStyle w:val="2"/>
        <w:tblpPr w:leftFromText="180" w:rightFromText="180" w:vertAnchor="text" w:horzAnchor="page" w:tblpXSpec="center" w:tblpY="690"/>
        <w:tblOverlap w:val="never"/>
        <w:tblW w:w="56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750"/>
        <w:gridCol w:w="2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何雅雯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2023120103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张雨晴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2023120105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韩亚峻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2023120106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洪子通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2023120120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  强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2023120122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/>
    <w:sectPr>
      <w:pgSz w:w="11906" w:h="16838"/>
      <w:pgMar w:top="2154" w:right="1474" w:bottom="1871" w:left="147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0AB0771"/>
    <w:rsid w:val="20AB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2024-01-02T08:34:00Z</dcterms:created>
  <dc:creator>花花</dc:creator>
  <cp:lastModifiedBy>花花</cp:lastModifiedBy>
  <dcterms:modified xsi:type="dcterms:W3CDTF">2024-01-02T08:35:05Z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7E79B01790534FF7A7D62A4E90062447_11</vt:lpwstr>
  </property>
</Properties>
</file>